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211" w14:textId="4D75B10C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Pr="007548C1">
        <w:rPr>
          <w:rFonts w:ascii="Cambria" w:hAnsi="Cambria"/>
          <w:color w:val="000000" w:themeColor="text1"/>
        </w:rPr>
        <w:t>Homework #</w:t>
      </w:r>
      <w:r w:rsidR="00E9205B">
        <w:rPr>
          <w:rFonts w:ascii="Cambria" w:hAnsi="Cambria"/>
          <w:color w:val="000000" w:themeColor="text1"/>
        </w:rPr>
        <w:t>8</w:t>
      </w:r>
    </w:p>
    <w:p w14:paraId="240B59EB" w14:textId="3EE06E6A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E9205B">
        <w:rPr>
          <w:rFonts w:ascii="Cambria" w:hAnsi="Cambria"/>
          <w:color w:val="000000" w:themeColor="text1"/>
        </w:rPr>
        <w:t>April 14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="004E3F89" w:rsidRPr="007548C1">
        <w:rPr>
          <w:rFonts w:ascii="Cambria" w:hAnsi="Cambria"/>
          <w:color w:val="000000" w:themeColor="text1"/>
        </w:rPr>
        <w:t>Tur</w:t>
      </w:r>
      <w:r w:rsidR="005F0490" w:rsidRPr="007548C1">
        <w:rPr>
          <w:rFonts w:ascii="Cambria" w:hAnsi="Cambria"/>
          <w:color w:val="000000" w:themeColor="text1"/>
        </w:rPr>
        <w:t xml:space="preserve">n </w:t>
      </w:r>
      <w:r w:rsidR="0063652C" w:rsidRPr="007548C1">
        <w:rPr>
          <w:rFonts w:ascii="Cambria" w:hAnsi="Cambria"/>
          <w:color w:val="000000" w:themeColor="text1"/>
        </w:rPr>
        <w:t xml:space="preserve">a </w:t>
      </w:r>
      <w:r w:rsidR="005F0490" w:rsidRPr="007548C1">
        <w:rPr>
          <w:rFonts w:ascii="Cambria" w:hAnsi="Cambria"/>
          <w:color w:val="000000" w:themeColor="text1"/>
        </w:rPr>
        <w:t xml:space="preserve">hard copy at the beginning </w:t>
      </w:r>
      <w:r w:rsidR="007A52E2" w:rsidRPr="007548C1">
        <w:rPr>
          <w:rFonts w:ascii="Cambria" w:hAnsi="Cambria"/>
          <w:color w:val="000000" w:themeColor="text1"/>
        </w:rPr>
        <w:t>of class on</w:t>
      </w:r>
      <w:r w:rsidRPr="007548C1">
        <w:rPr>
          <w:rFonts w:ascii="Cambria" w:hAnsi="Cambria"/>
          <w:color w:val="000000" w:themeColor="text1"/>
        </w:rPr>
        <w:t xml:space="preserve"> </w:t>
      </w:r>
      <w:r w:rsidR="006C407C">
        <w:rPr>
          <w:rFonts w:ascii="Cambria" w:hAnsi="Cambria"/>
          <w:color w:val="000000" w:themeColor="text1"/>
        </w:rPr>
        <w:t>April</w:t>
      </w:r>
      <w:r w:rsidRPr="007548C1">
        <w:rPr>
          <w:rFonts w:ascii="Cambria" w:hAnsi="Cambria"/>
          <w:color w:val="000000" w:themeColor="text1"/>
        </w:rPr>
        <w:t xml:space="preserve"> </w:t>
      </w:r>
      <w:r w:rsidR="007C1722">
        <w:rPr>
          <w:rFonts w:ascii="Cambria" w:hAnsi="Cambria"/>
          <w:color w:val="000000" w:themeColor="text1"/>
        </w:rPr>
        <w:t>28</w:t>
      </w:r>
    </w:p>
    <w:p w14:paraId="1AD2A12A" w14:textId="77777777" w:rsidR="001E6604" w:rsidRDefault="001E6604" w:rsidP="00513695">
      <w:pPr>
        <w:contextualSpacing/>
        <w:rPr>
          <w:bCs/>
        </w:rPr>
      </w:pPr>
    </w:p>
    <w:p w14:paraId="4504850B" w14:textId="1CC1782E" w:rsidR="007E638A" w:rsidRPr="00DF284D" w:rsidRDefault="007E638A" w:rsidP="007E638A">
      <w:pPr>
        <w:ind w:left="360" w:hanging="360"/>
        <w:contextualSpacing/>
        <w:rPr>
          <w:i/>
        </w:rPr>
      </w:pPr>
      <w:r w:rsidRPr="00DF284D">
        <w:rPr>
          <w:bCs/>
        </w:rPr>
        <w:t xml:space="preserve">4.1 </w:t>
      </w:r>
      <w:r w:rsidRPr="00DF284D">
        <w:t xml:space="preserve">Using equations (4.2) and (4.3) from the main text and the </w:t>
      </w:r>
      <w:proofErr w:type="spellStart"/>
      <w:r w:rsidRPr="00DF284D">
        <w:t>Rahmstorf</w:t>
      </w:r>
      <w:proofErr w:type="spellEnd"/>
      <w:r w:rsidRPr="00DF284D">
        <w:t xml:space="preserve"> AMOC box model, derive the time evolution equation (4.4) for the overturning flow </w:t>
      </w:r>
      <w:r w:rsidRPr="00DF284D">
        <w:rPr>
          <w:rStyle w:val="katex-mathml"/>
        </w:rPr>
        <w:t>q</w:t>
      </w:r>
      <w:r w:rsidRPr="00DF284D">
        <w:t xml:space="preserve"> under freshwater forcing with assumption that </w:t>
      </w:r>
      <w:r w:rsidRPr="00DF284D">
        <w:rPr>
          <w:i/>
        </w:rPr>
        <w:t>S</w:t>
      </w:r>
      <w:r w:rsidRPr="00DF284D">
        <w:rPr>
          <w:vertAlign w:val="subscript"/>
        </w:rPr>
        <w:t>2</w:t>
      </w:r>
      <w:r w:rsidRPr="00DF284D">
        <w:t xml:space="preserve"> </w:t>
      </w:r>
      <w:proofErr w:type="gramStart"/>
      <w:r w:rsidRPr="00DF284D">
        <w:t>and Δ</w:t>
      </w:r>
      <w:r w:rsidRPr="00DF284D">
        <w:rPr>
          <w:rFonts w:ascii="Cambria Math" w:hAnsi="Cambria Math" w:cs="Cambria Math"/>
        </w:rPr>
        <w:t>𝑇</w:t>
      </w:r>
      <w:proofErr w:type="gramEnd"/>
      <w:r w:rsidRPr="00DF284D">
        <w:t xml:space="preserve">are constant. </w:t>
      </w:r>
    </w:p>
    <w:p w14:paraId="5970D2B5" w14:textId="77777777" w:rsidR="007E638A" w:rsidRPr="00DF284D" w:rsidRDefault="007E638A" w:rsidP="007E638A">
      <w:pPr>
        <w:ind w:left="360" w:hanging="360"/>
        <w:contextualSpacing/>
      </w:pPr>
    </w:p>
    <w:p w14:paraId="5850502E" w14:textId="77777777" w:rsidR="007E638A" w:rsidRPr="00DF284D" w:rsidRDefault="007E638A" w:rsidP="007E638A">
      <w:pPr>
        <w:ind w:left="360" w:hanging="360"/>
        <w:contextualSpacing/>
      </w:pPr>
      <w:r w:rsidRPr="00DF284D">
        <w:t xml:space="preserve">4.2 Using equation (4.4) from Exercise 4.1, find the steady-state values of the overturning flow </w:t>
      </w:r>
      <w:r w:rsidRPr="00DF284D">
        <w:rPr>
          <w:rStyle w:val="katex-mathml"/>
        </w:rPr>
        <w:t>q</w:t>
      </w:r>
      <w:r w:rsidRPr="00DF284D">
        <w:t xml:space="preserve"> where </w:t>
      </w:r>
      <w:proofErr w:type="spellStart"/>
      <w:r w:rsidRPr="00DF284D">
        <w:rPr>
          <w:rStyle w:val="katex-mathml"/>
        </w:rPr>
        <w:t>dq</w:t>
      </w:r>
      <w:proofErr w:type="spellEnd"/>
      <w:r w:rsidRPr="00DF284D">
        <w:rPr>
          <w:rStyle w:val="katex-mathml"/>
        </w:rPr>
        <w:t>/dt =0</w:t>
      </w:r>
      <w:r w:rsidRPr="00DF284D">
        <w:t xml:space="preserve"> as a function of the freshwater forcing </w:t>
      </w:r>
      <w:r w:rsidRPr="00DF284D">
        <w:rPr>
          <w:rStyle w:val="mord"/>
          <w:i/>
        </w:rPr>
        <w:t>F</w:t>
      </w:r>
      <w:r w:rsidRPr="00DF284D">
        <w:rPr>
          <w:rStyle w:val="mord"/>
          <w:vertAlign w:val="subscript"/>
        </w:rPr>
        <w:t>1</w:t>
      </w:r>
      <w:r w:rsidRPr="00DF284D">
        <w:rPr>
          <w:rStyle w:val="vlist-s"/>
        </w:rPr>
        <w:t>​</w:t>
      </w:r>
      <w:r w:rsidRPr="00DF284D">
        <w:t xml:space="preserve">. Perform a linear stability analysis around each steady state to determine whether it is stable or unstable. Identify the condition under which stability is lost and determine the critical value of </w:t>
      </w:r>
      <w:r w:rsidRPr="00DF284D">
        <w:rPr>
          <w:rStyle w:val="mord"/>
          <w:i/>
        </w:rPr>
        <w:t>F</w:t>
      </w:r>
      <w:r w:rsidRPr="00DF284D">
        <w:rPr>
          <w:rStyle w:val="mord"/>
          <w:vertAlign w:val="subscript"/>
        </w:rPr>
        <w:t>1</w:t>
      </w:r>
      <w:r w:rsidRPr="00DF284D">
        <w:rPr>
          <w:rStyle w:val="vlist-s"/>
        </w:rPr>
        <w:t>​</w:t>
      </w:r>
      <w:r w:rsidRPr="00DF284D">
        <w:t xml:space="preserve"> at which the system reaches a tipping point.</w:t>
      </w:r>
    </w:p>
    <w:p w14:paraId="1C20DA2B" w14:textId="77777777" w:rsidR="007E638A" w:rsidRPr="00DF284D" w:rsidRDefault="007E638A" w:rsidP="007E638A">
      <w:pPr>
        <w:ind w:left="360" w:hanging="360"/>
        <w:contextualSpacing/>
      </w:pPr>
    </w:p>
    <w:p w14:paraId="335E54DA" w14:textId="77777777" w:rsidR="007E638A" w:rsidRDefault="007E638A" w:rsidP="007E638A">
      <w:pPr>
        <w:ind w:left="360" w:hanging="360"/>
        <w:contextualSpacing/>
      </w:pPr>
      <w:r w:rsidRPr="00DF284D">
        <w:t xml:space="preserve">4.3 </w:t>
      </w:r>
      <w:r w:rsidRPr="00B3352A">
        <w:t>Using the parameter values listed in Table 4.7, plot the bifurcation diagram</w:t>
      </w:r>
      <w:r w:rsidRPr="00DF284D">
        <w:t xml:space="preserve"> of the steady-state overturning flow </w:t>
      </w:r>
      <w:r w:rsidRPr="00DF284D">
        <w:rPr>
          <w:rStyle w:val="katex-mathml"/>
        </w:rPr>
        <w:t>q</w:t>
      </w:r>
      <w:r w:rsidRPr="00DF284D">
        <w:t xml:space="preserve"> as a function of the freshwater forcing parameter </w:t>
      </w:r>
      <w:r w:rsidRPr="00DF284D">
        <w:rPr>
          <w:rStyle w:val="mord"/>
          <w:i/>
        </w:rPr>
        <w:t>F</w:t>
      </w:r>
      <w:r w:rsidRPr="00DF284D">
        <w:rPr>
          <w:rStyle w:val="mord"/>
          <w:vertAlign w:val="subscript"/>
        </w:rPr>
        <w:t>1</w:t>
      </w:r>
      <w:r w:rsidRPr="00DF284D">
        <w:rPr>
          <w:rStyle w:val="vlist-s"/>
        </w:rPr>
        <w:t>​</w:t>
      </w:r>
      <w:r w:rsidRPr="00DF284D">
        <w:t xml:space="preserve">. Clearly indicate the stable and unstable branches. Discuss the tipping processes and explain how variations in freshwater forcing influence the stability and potential tipping of the AMOC. </w:t>
      </w:r>
    </w:p>
    <w:p w14:paraId="44E9EFA2" w14:textId="77777777" w:rsidR="007E638A" w:rsidRPr="00DF284D" w:rsidRDefault="007E638A" w:rsidP="007E638A">
      <w:pPr>
        <w:ind w:left="360" w:hanging="360"/>
        <w:contextualSpacing/>
      </w:pPr>
      <w:r>
        <w:rPr>
          <w:b/>
          <w:bCs/>
        </w:rPr>
        <w:t xml:space="preserve">    </w:t>
      </w:r>
      <w:r w:rsidRPr="00B3352A">
        <w:rPr>
          <w:b/>
          <w:bCs/>
        </w:rPr>
        <w:t>Table 4.7</w:t>
      </w:r>
      <w:r w:rsidRPr="00B3352A">
        <w:t xml:space="preserve"> Parameters for plotting bifurcation diagram of AMOC flow</w:t>
      </w: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1828"/>
        <w:gridCol w:w="3330"/>
        <w:gridCol w:w="2070"/>
      </w:tblGrid>
      <w:tr w:rsidR="007E638A" w:rsidRPr="00DF284D" w14:paraId="43AB1BF5" w14:textId="77777777" w:rsidTr="00E46903">
        <w:tc>
          <w:tcPr>
            <w:tcW w:w="1345" w:type="dxa"/>
          </w:tcPr>
          <w:p w14:paraId="5D9AFBC8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ab/>
              <w:t>Parameter</w:t>
            </w:r>
          </w:p>
        </w:tc>
        <w:tc>
          <w:tcPr>
            <w:tcW w:w="3330" w:type="dxa"/>
          </w:tcPr>
          <w:p w14:paraId="1DBA1102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>Description</w:t>
            </w:r>
          </w:p>
        </w:tc>
        <w:tc>
          <w:tcPr>
            <w:tcW w:w="2070" w:type="dxa"/>
          </w:tcPr>
          <w:p w14:paraId="062B3C0B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>Value</w:t>
            </w:r>
          </w:p>
        </w:tc>
      </w:tr>
      <w:tr w:rsidR="007E638A" w:rsidRPr="00DF284D" w14:paraId="34F6BDB2" w14:textId="77777777" w:rsidTr="00E46903">
        <w:tc>
          <w:tcPr>
            <w:tcW w:w="1345" w:type="dxa"/>
          </w:tcPr>
          <w:p w14:paraId="165C550E" w14:textId="77777777" w:rsidR="007E638A" w:rsidRPr="00DF284D" w:rsidRDefault="007E638A" w:rsidP="00E46903">
            <w:pPr>
              <w:contextualSpacing/>
              <w:rPr>
                <w:bCs/>
                <w:i/>
              </w:rPr>
            </w:pPr>
            <w:r w:rsidRPr="00DF284D">
              <w:rPr>
                <w:i/>
              </w:rPr>
              <w:t>k</w:t>
            </w:r>
          </w:p>
        </w:tc>
        <w:tc>
          <w:tcPr>
            <w:tcW w:w="3330" w:type="dxa"/>
          </w:tcPr>
          <w:p w14:paraId="6F37C5C3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>Hydraulic constant</w:t>
            </w:r>
          </w:p>
        </w:tc>
        <w:tc>
          <w:tcPr>
            <w:tcW w:w="2070" w:type="dxa"/>
          </w:tcPr>
          <w:p w14:paraId="49AAB536" w14:textId="385C25C9" w:rsidR="007E638A" w:rsidRPr="00DF284D" w:rsidRDefault="007E638A" w:rsidP="00E46903">
            <w:pPr>
              <w:contextualSpacing/>
              <w:rPr>
                <w:bCs/>
              </w:rPr>
            </w:pPr>
            <w:r w:rsidRPr="00756920">
              <w:rPr>
                <w:rStyle w:val="mord"/>
                <w:highlight w:val="yellow"/>
              </w:rPr>
              <w:t>1.5</w:t>
            </w:r>
            <w:r w:rsidRPr="00756920">
              <w:rPr>
                <w:rStyle w:val="mbin"/>
                <w:highlight w:val="yellow"/>
              </w:rPr>
              <w:t>×</w:t>
            </w:r>
            <w:r w:rsidRPr="00756920">
              <w:rPr>
                <w:rStyle w:val="mord"/>
                <w:highlight w:val="yellow"/>
              </w:rPr>
              <w:t>10</w:t>
            </w:r>
            <w:r w:rsidRPr="00756920">
              <w:rPr>
                <w:rStyle w:val="mord"/>
                <w:highlight w:val="yellow"/>
                <w:vertAlign w:val="superscript"/>
              </w:rPr>
              <w:t>−4</w:t>
            </w:r>
            <w:r w:rsidRPr="00756920">
              <w:rPr>
                <w:rStyle w:val="mspace"/>
                <w:highlight w:val="yellow"/>
              </w:rPr>
              <w:t> </w:t>
            </w:r>
            <w:r w:rsidR="00756920" w:rsidRPr="00756920">
              <w:rPr>
                <w:rStyle w:val="mspace"/>
                <w:highlight w:val="yellow"/>
              </w:rPr>
              <w:t>m</w:t>
            </w:r>
            <w:r w:rsidR="00756920" w:rsidRPr="00756920">
              <w:rPr>
                <w:rStyle w:val="mspace"/>
                <w:highlight w:val="yellow"/>
                <w:vertAlign w:val="superscript"/>
              </w:rPr>
              <w:t>6</w:t>
            </w:r>
            <w:r w:rsidR="00756920" w:rsidRPr="00756920">
              <w:rPr>
                <w:rStyle w:val="mspace"/>
                <w:highlight w:val="yellow"/>
              </w:rPr>
              <w:t>kg</w:t>
            </w:r>
            <w:r w:rsidR="00756920" w:rsidRPr="00756920">
              <w:rPr>
                <w:rStyle w:val="mspace"/>
                <w:highlight w:val="yellow"/>
                <w:vertAlign w:val="superscript"/>
              </w:rPr>
              <w:t>-1</w:t>
            </w:r>
            <w:r w:rsidRPr="00756920">
              <w:rPr>
                <w:rStyle w:val="mspace"/>
                <w:highlight w:val="yellow"/>
              </w:rPr>
              <w:t>s</w:t>
            </w:r>
            <w:r w:rsidRPr="00756920">
              <w:rPr>
                <w:rStyle w:val="mord"/>
                <w:highlight w:val="yellow"/>
                <w:vertAlign w:val="superscript"/>
              </w:rPr>
              <w:t>−1</w:t>
            </w:r>
          </w:p>
        </w:tc>
      </w:tr>
      <w:tr w:rsidR="007E638A" w:rsidRPr="00DF284D" w14:paraId="02EA2471" w14:textId="77777777" w:rsidTr="00E46903">
        <w:tc>
          <w:tcPr>
            <w:tcW w:w="1345" w:type="dxa"/>
          </w:tcPr>
          <w:p w14:paraId="78D830C6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rPr>
                <w:bCs/>
                <w:i/>
              </w:rPr>
              <w:sym w:font="Symbol" w:char="F072"/>
            </w:r>
            <w:r w:rsidRPr="00DF284D">
              <w:rPr>
                <w:bCs/>
                <w:vertAlign w:val="subscript"/>
              </w:rPr>
              <w:t>0</w:t>
            </w:r>
          </w:p>
        </w:tc>
        <w:tc>
          <w:tcPr>
            <w:tcW w:w="3330" w:type="dxa"/>
          </w:tcPr>
          <w:p w14:paraId="18D41757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rPr>
                <w:bCs/>
              </w:rPr>
              <w:t>Reference seawater density</w:t>
            </w:r>
          </w:p>
        </w:tc>
        <w:tc>
          <w:tcPr>
            <w:tcW w:w="2070" w:type="dxa"/>
          </w:tcPr>
          <w:p w14:paraId="1B901E61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rPr>
                <w:rStyle w:val="mord"/>
              </w:rPr>
              <w:t>1025</w:t>
            </w:r>
            <w:r w:rsidRPr="00DF284D">
              <w:rPr>
                <w:rStyle w:val="mspace"/>
              </w:rPr>
              <w:t> </w:t>
            </w:r>
            <w:r w:rsidRPr="00DF284D">
              <w:rPr>
                <w:rStyle w:val="mord"/>
              </w:rPr>
              <w:t>kgm</w:t>
            </w:r>
            <w:r w:rsidRPr="00DF284D">
              <w:rPr>
                <w:rStyle w:val="mord"/>
                <w:vertAlign w:val="superscript"/>
              </w:rPr>
              <w:t>−3</w:t>
            </w:r>
          </w:p>
        </w:tc>
      </w:tr>
      <w:tr w:rsidR="007E638A" w:rsidRPr="00DF284D" w14:paraId="2BBAF8C2" w14:textId="77777777" w:rsidTr="00E46903">
        <w:tc>
          <w:tcPr>
            <w:tcW w:w="1345" w:type="dxa"/>
          </w:tcPr>
          <w:p w14:paraId="6B84B52D" w14:textId="77777777" w:rsidR="007E638A" w:rsidRPr="00DF284D" w:rsidRDefault="007E638A" w:rsidP="00E46903">
            <w:pPr>
              <w:contextualSpacing/>
              <w:rPr>
                <w:bCs/>
                <w:i/>
              </w:rPr>
            </w:pPr>
            <w:r w:rsidRPr="00DF284D">
              <w:rPr>
                <w:i/>
              </w:rPr>
              <w:t>α</w:t>
            </w:r>
          </w:p>
        </w:tc>
        <w:tc>
          <w:tcPr>
            <w:tcW w:w="3330" w:type="dxa"/>
          </w:tcPr>
          <w:p w14:paraId="5D276D0B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>Thermal expansion coefficient</w:t>
            </w:r>
          </w:p>
        </w:tc>
        <w:tc>
          <w:tcPr>
            <w:tcW w:w="2070" w:type="dxa"/>
          </w:tcPr>
          <w:p w14:paraId="4C8F2CEA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rPr>
                <w:rStyle w:val="mord"/>
              </w:rPr>
              <w:t>1.5</w:t>
            </w:r>
            <w:r w:rsidRPr="00DF284D">
              <w:rPr>
                <w:rStyle w:val="mbin"/>
              </w:rPr>
              <w:t>×</w:t>
            </w:r>
            <w:r w:rsidRPr="00DF284D">
              <w:rPr>
                <w:rStyle w:val="mord"/>
              </w:rPr>
              <w:t>10</w:t>
            </w:r>
            <w:r w:rsidRPr="00DF284D">
              <w:rPr>
                <w:rStyle w:val="mord"/>
                <w:vertAlign w:val="superscript"/>
              </w:rPr>
              <w:t>−4</w:t>
            </w:r>
            <w:r w:rsidRPr="00DF284D">
              <w:rPr>
                <w:rStyle w:val="mspace"/>
              </w:rPr>
              <w:t> </w:t>
            </w:r>
            <w:r w:rsidRPr="00DF284D">
              <w:rPr>
                <w:rStyle w:val="mbin"/>
                <w:rFonts w:ascii="Cambria Math" w:hAnsi="Cambria Math" w:cs="Cambria Math"/>
                <w:vertAlign w:val="superscript"/>
              </w:rPr>
              <w:t>∘</w:t>
            </w:r>
            <w:r w:rsidRPr="00DF284D">
              <w:rPr>
                <w:rStyle w:val="mord"/>
              </w:rPr>
              <w:t>C</w:t>
            </w:r>
            <w:r w:rsidRPr="00DF284D">
              <w:rPr>
                <w:rStyle w:val="mord"/>
                <w:vertAlign w:val="superscript"/>
              </w:rPr>
              <w:t>−1</w:t>
            </w:r>
          </w:p>
        </w:tc>
      </w:tr>
      <w:tr w:rsidR="007E638A" w:rsidRPr="00DF284D" w14:paraId="5695260C" w14:textId="77777777" w:rsidTr="00E46903">
        <w:tc>
          <w:tcPr>
            <w:tcW w:w="1345" w:type="dxa"/>
          </w:tcPr>
          <w:p w14:paraId="3EE5E598" w14:textId="77777777" w:rsidR="007E638A" w:rsidRPr="00DF284D" w:rsidRDefault="007E638A" w:rsidP="00E46903">
            <w:pPr>
              <w:contextualSpacing/>
              <w:rPr>
                <w:bCs/>
                <w:i/>
              </w:rPr>
            </w:pPr>
            <w:r w:rsidRPr="00DF284D">
              <w:rPr>
                <w:i/>
              </w:rPr>
              <w:t>β</w:t>
            </w:r>
          </w:p>
        </w:tc>
        <w:tc>
          <w:tcPr>
            <w:tcW w:w="3330" w:type="dxa"/>
          </w:tcPr>
          <w:p w14:paraId="14A5DE20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>Haline contraction coefficient</w:t>
            </w:r>
          </w:p>
        </w:tc>
        <w:tc>
          <w:tcPr>
            <w:tcW w:w="2070" w:type="dxa"/>
          </w:tcPr>
          <w:p w14:paraId="3A47264D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rPr>
                <w:rStyle w:val="mbin"/>
              </w:rPr>
              <w:t>8.0×</w:t>
            </w:r>
            <w:r w:rsidRPr="00DF284D">
              <w:rPr>
                <w:rStyle w:val="mord"/>
              </w:rPr>
              <w:t>10</w:t>
            </w:r>
            <w:r w:rsidRPr="00DF284D">
              <w:rPr>
                <w:rStyle w:val="mord"/>
                <w:vertAlign w:val="superscript"/>
              </w:rPr>
              <w:t>−4</w:t>
            </w:r>
            <w:r w:rsidRPr="00DF284D">
              <w:rPr>
                <w:rStyle w:val="mspace"/>
              </w:rPr>
              <w:t> </w:t>
            </w:r>
            <w:r w:rsidRPr="00DF284D">
              <w:rPr>
                <w:rStyle w:val="mord"/>
              </w:rPr>
              <w:t>psu</w:t>
            </w:r>
            <w:r w:rsidRPr="00DF284D">
              <w:rPr>
                <w:rStyle w:val="mord"/>
                <w:vertAlign w:val="superscript"/>
              </w:rPr>
              <w:t>−1</w:t>
            </w:r>
          </w:p>
        </w:tc>
      </w:tr>
      <w:tr w:rsidR="007E638A" w:rsidRPr="00DF284D" w14:paraId="68889493" w14:textId="77777777" w:rsidTr="00E46903">
        <w:tc>
          <w:tcPr>
            <w:tcW w:w="1345" w:type="dxa"/>
          </w:tcPr>
          <w:p w14:paraId="32E17E8A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>Δ</w:t>
            </w:r>
            <w:r w:rsidRPr="00DF284D">
              <w:rPr>
                <w:i/>
              </w:rPr>
              <w:t>T</w:t>
            </w:r>
          </w:p>
        </w:tc>
        <w:tc>
          <w:tcPr>
            <w:tcW w:w="3330" w:type="dxa"/>
          </w:tcPr>
          <w:p w14:paraId="0FC0485B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t>Temperature difference (</w:t>
            </w:r>
            <w:r w:rsidRPr="00DF284D">
              <w:rPr>
                <w:i/>
              </w:rPr>
              <w:t>T</w:t>
            </w:r>
            <w:r w:rsidRPr="00DF284D">
              <w:rPr>
                <w:vertAlign w:val="subscript"/>
              </w:rPr>
              <w:t>2</w:t>
            </w:r>
            <w:r w:rsidRPr="00DF284D">
              <w:t xml:space="preserve"> – </w:t>
            </w:r>
            <w:r w:rsidRPr="00DF284D">
              <w:rPr>
                <w:i/>
              </w:rPr>
              <w:t>T</w:t>
            </w:r>
            <w:r w:rsidRPr="00DF284D">
              <w:rPr>
                <w:vertAlign w:val="subscript"/>
              </w:rPr>
              <w:t>1</w:t>
            </w:r>
            <w:r w:rsidRPr="00DF284D">
              <w:t>)</w:t>
            </w:r>
          </w:p>
        </w:tc>
        <w:tc>
          <w:tcPr>
            <w:tcW w:w="2070" w:type="dxa"/>
          </w:tcPr>
          <w:p w14:paraId="5EA484D4" w14:textId="77777777" w:rsidR="007E638A" w:rsidRPr="00DF284D" w:rsidRDefault="007E638A" w:rsidP="00E46903">
            <w:pPr>
              <w:contextualSpacing/>
              <w:rPr>
                <w:bCs/>
              </w:rPr>
            </w:pPr>
            <w:r w:rsidRPr="00DF284D">
              <w:rPr>
                <w:rStyle w:val="mord"/>
              </w:rPr>
              <w:t>10</w:t>
            </w:r>
            <w:r w:rsidRPr="00DF284D">
              <w:rPr>
                <w:rStyle w:val="mspace"/>
              </w:rPr>
              <w:t> </w:t>
            </w:r>
            <w:r w:rsidRPr="00DF284D">
              <w:rPr>
                <w:rStyle w:val="mbin"/>
                <w:rFonts w:ascii="Cambria Math" w:hAnsi="Cambria Math" w:cs="Cambria Math"/>
                <w:vertAlign w:val="superscript"/>
              </w:rPr>
              <w:t>∘</w:t>
            </w:r>
            <w:r w:rsidRPr="00DF284D">
              <w:rPr>
                <w:rStyle w:val="mord"/>
              </w:rPr>
              <w:t>C</w:t>
            </w:r>
          </w:p>
        </w:tc>
      </w:tr>
      <w:tr w:rsidR="007E638A" w:rsidRPr="00DF284D" w14:paraId="543DAA0D" w14:textId="77777777" w:rsidTr="00E46903">
        <w:tc>
          <w:tcPr>
            <w:tcW w:w="1345" w:type="dxa"/>
          </w:tcPr>
          <w:p w14:paraId="5AB8CA41" w14:textId="77777777" w:rsidR="007E638A" w:rsidRPr="00DF284D" w:rsidRDefault="007E638A" w:rsidP="00E46903">
            <w:pPr>
              <w:contextualSpacing/>
            </w:pPr>
            <w:r w:rsidRPr="00DF284D">
              <w:rPr>
                <w:i/>
              </w:rPr>
              <w:t>S</w:t>
            </w:r>
            <w:r w:rsidRPr="00DF284D">
              <w:rPr>
                <w:vertAlign w:val="subscript"/>
              </w:rPr>
              <w:t>0</w:t>
            </w:r>
            <w:r w:rsidRPr="00DF284D">
              <w:t xml:space="preserve"> </w:t>
            </w:r>
          </w:p>
        </w:tc>
        <w:tc>
          <w:tcPr>
            <w:tcW w:w="3330" w:type="dxa"/>
          </w:tcPr>
          <w:p w14:paraId="7E340D4E" w14:textId="77777777" w:rsidR="007E638A" w:rsidRPr="00DF284D" w:rsidRDefault="007E638A" w:rsidP="00E46903">
            <w:pPr>
              <w:contextualSpacing/>
            </w:pPr>
            <w:r w:rsidRPr="00DF284D">
              <w:t>Reference salinity</w:t>
            </w:r>
          </w:p>
        </w:tc>
        <w:tc>
          <w:tcPr>
            <w:tcW w:w="2070" w:type="dxa"/>
          </w:tcPr>
          <w:p w14:paraId="2DEF668B" w14:textId="77777777" w:rsidR="007E638A" w:rsidRPr="00DF284D" w:rsidRDefault="007E638A" w:rsidP="00E46903">
            <w:pPr>
              <w:contextualSpacing/>
            </w:pPr>
            <w:r w:rsidRPr="00DF284D">
              <w:t>35 psu</w:t>
            </w:r>
          </w:p>
        </w:tc>
      </w:tr>
    </w:tbl>
    <w:p w14:paraId="5CB1A078" w14:textId="77777777" w:rsidR="007E638A" w:rsidRPr="00DF284D" w:rsidRDefault="007E638A" w:rsidP="007E638A">
      <w:pPr>
        <w:contextualSpacing/>
      </w:pPr>
      <w:r w:rsidRPr="00DF284D">
        <w:t xml:space="preserve"> </w:t>
      </w:r>
    </w:p>
    <w:p w14:paraId="07CEB374" w14:textId="3933C800" w:rsidR="007E638A" w:rsidRPr="00DF284D" w:rsidRDefault="007E638A" w:rsidP="007E638A">
      <w:pPr>
        <w:ind w:left="360" w:hanging="360"/>
        <w:contextualSpacing/>
        <w:rPr>
          <w:szCs w:val="22"/>
        </w:rPr>
      </w:pPr>
      <w:r w:rsidRPr="00DF284D">
        <w:rPr>
          <w:szCs w:val="22"/>
        </w:rPr>
        <w:t>4.</w:t>
      </w:r>
      <w:r w:rsidR="00ED5221">
        <w:rPr>
          <w:szCs w:val="22"/>
        </w:rPr>
        <w:t>4</w:t>
      </w:r>
      <w:r w:rsidRPr="00DF284D">
        <w:rPr>
          <w:szCs w:val="22"/>
        </w:rPr>
        <w:t xml:space="preserve"> Resilience Potential and Tipping Processes</w:t>
      </w:r>
    </w:p>
    <w:p w14:paraId="3B6719A5" w14:textId="7912FB7C" w:rsidR="00566735" w:rsidRPr="00EE12B1" w:rsidRDefault="007E638A" w:rsidP="00D00375">
      <w:pPr>
        <w:ind w:left="360" w:hanging="360"/>
        <w:contextualSpacing/>
        <w:rPr>
          <w:rFonts w:ascii="Cambria" w:eastAsiaTheme="minorEastAsia" w:hAnsi="Cambria"/>
          <w:iCs/>
          <w:color w:val="000000" w:themeColor="text1"/>
        </w:rPr>
      </w:pPr>
      <w:r w:rsidRPr="00DF284D">
        <w:rPr>
          <w:szCs w:val="22"/>
        </w:rPr>
        <w:tab/>
        <w:t xml:space="preserve">Using the relationship </w:t>
      </w:r>
      <w:r w:rsidRPr="00DF284D">
        <w:rPr>
          <w:position w:val="-10"/>
          <w:szCs w:val="22"/>
        </w:rPr>
        <w:object w:dxaOrig="1800" w:dyaOrig="320" w14:anchorId="1F72AF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5pt;height:15.5pt" o:ole="">
            <v:imagedata r:id="rId8" o:title=""/>
          </v:shape>
          <o:OLEObject Type="Embed" ProgID="Equation.DSMT4" ShapeID="_x0000_i1025" DrawAspect="Content" ObjectID="_1838183229" r:id="rId9"/>
        </w:object>
      </w:r>
      <w:r w:rsidRPr="00DF284D">
        <w:rPr>
          <w:szCs w:val="22"/>
        </w:rPr>
        <w:t xml:space="preserve">: (1) Calculate the resilience potential function </w:t>
      </w:r>
      <w:r w:rsidRPr="00DF284D">
        <w:rPr>
          <w:i/>
          <w:szCs w:val="22"/>
        </w:rPr>
        <w:t>U</w:t>
      </w:r>
      <w:r w:rsidRPr="00DF284D">
        <w:rPr>
          <w:szCs w:val="22"/>
        </w:rPr>
        <w:t xml:space="preserve">(q) for the AMOC; (2) using </w:t>
      </w:r>
      <w:r w:rsidRPr="00DF284D">
        <w:rPr>
          <w:position w:val="-10"/>
          <w:szCs w:val="22"/>
        </w:rPr>
        <w:object w:dxaOrig="1160" w:dyaOrig="320" w14:anchorId="0DD16776">
          <v:shape id="_x0000_i1026" type="#_x0000_t75" style="width:58.5pt;height:15.5pt" o:ole="">
            <v:imagedata r:id="rId10" o:title=""/>
          </v:shape>
          <o:OLEObject Type="Embed" ProgID="Equation.DSMT4" ShapeID="_x0000_i1026" DrawAspect="Content" ObjectID="_1838183230" r:id="rId11"/>
        </w:object>
      </w:r>
      <w:r w:rsidRPr="00DF284D">
        <w:rPr>
          <w:szCs w:val="22"/>
        </w:rPr>
        <w:t xml:space="preserve"> to determine steady states; (3) Using the sign of </w:t>
      </w:r>
      <w:r w:rsidRPr="00DF284D">
        <w:rPr>
          <w:position w:val="-10"/>
          <w:szCs w:val="22"/>
        </w:rPr>
        <w:object w:dxaOrig="980" w:dyaOrig="360" w14:anchorId="357AD9DB">
          <v:shape id="_x0000_i1027" type="#_x0000_t75" style="width:49.5pt;height:18.5pt" o:ole="">
            <v:imagedata r:id="rId12" o:title=""/>
          </v:shape>
          <o:OLEObject Type="Embed" ProgID="Equation.DSMT4" ShapeID="_x0000_i1027" DrawAspect="Content" ObjectID="_1838183231" r:id="rId13"/>
        </w:object>
      </w:r>
      <w:r w:rsidRPr="00DF284D">
        <w:rPr>
          <w:szCs w:val="22"/>
        </w:rPr>
        <w:t>to assess the stability of steady state; and (4) discuss how resilience and potential tipping behavior may change under warming disturbances.</w:t>
      </w:r>
    </w:p>
    <w:sectPr w:rsidR="00566735" w:rsidRPr="00EE1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E7EF2"/>
    <w:multiLevelType w:val="hybridMultilevel"/>
    <w:tmpl w:val="D8A25170"/>
    <w:lvl w:ilvl="0" w:tplc="225C908C">
      <w:start w:val="1"/>
      <w:numFmt w:val="lowerLetter"/>
      <w:lvlText w:val="(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E7E78"/>
    <w:multiLevelType w:val="multilevel"/>
    <w:tmpl w:val="1A78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6"/>
  </w:num>
  <w:num w:numId="3" w16cid:durableId="2025666901">
    <w:abstractNumId w:val="10"/>
  </w:num>
  <w:num w:numId="4" w16cid:durableId="1925455673">
    <w:abstractNumId w:val="5"/>
  </w:num>
  <w:num w:numId="5" w16cid:durableId="91435017">
    <w:abstractNumId w:val="11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9"/>
  </w:num>
  <w:num w:numId="9" w16cid:durableId="1354771986">
    <w:abstractNumId w:val="8"/>
  </w:num>
  <w:num w:numId="10" w16cid:durableId="1588660103">
    <w:abstractNumId w:val="4"/>
  </w:num>
  <w:num w:numId="11" w16cid:durableId="1742168585">
    <w:abstractNumId w:val="7"/>
  </w:num>
  <w:num w:numId="12" w16cid:durableId="48143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847D3"/>
    <w:rsid w:val="000A4A67"/>
    <w:rsid w:val="000D5B4E"/>
    <w:rsid w:val="000E346C"/>
    <w:rsid w:val="000F0D98"/>
    <w:rsid w:val="00160585"/>
    <w:rsid w:val="00183750"/>
    <w:rsid w:val="001D27B8"/>
    <w:rsid w:val="001E6604"/>
    <w:rsid w:val="001F36B2"/>
    <w:rsid w:val="00231D42"/>
    <w:rsid w:val="0024038A"/>
    <w:rsid w:val="00250577"/>
    <w:rsid w:val="00265584"/>
    <w:rsid w:val="00272FB0"/>
    <w:rsid w:val="00287411"/>
    <w:rsid w:val="00292C0F"/>
    <w:rsid w:val="002C0C3A"/>
    <w:rsid w:val="003629E2"/>
    <w:rsid w:val="00380019"/>
    <w:rsid w:val="003809F3"/>
    <w:rsid w:val="00391549"/>
    <w:rsid w:val="003A6171"/>
    <w:rsid w:val="003B73AD"/>
    <w:rsid w:val="003C21B5"/>
    <w:rsid w:val="003C3830"/>
    <w:rsid w:val="003C59BD"/>
    <w:rsid w:val="004055F7"/>
    <w:rsid w:val="00416C02"/>
    <w:rsid w:val="00434640"/>
    <w:rsid w:val="004B15AD"/>
    <w:rsid w:val="004C385E"/>
    <w:rsid w:val="004E1DBD"/>
    <w:rsid w:val="004E3D58"/>
    <w:rsid w:val="004E3F89"/>
    <w:rsid w:val="0050655D"/>
    <w:rsid w:val="00513695"/>
    <w:rsid w:val="00566735"/>
    <w:rsid w:val="005B4AEA"/>
    <w:rsid w:val="005E6A68"/>
    <w:rsid w:val="005F0490"/>
    <w:rsid w:val="0063652C"/>
    <w:rsid w:val="00636F81"/>
    <w:rsid w:val="006C2D32"/>
    <w:rsid w:val="006C407C"/>
    <w:rsid w:val="006C77EA"/>
    <w:rsid w:val="006F4DEC"/>
    <w:rsid w:val="007548C1"/>
    <w:rsid w:val="00756920"/>
    <w:rsid w:val="00772FDD"/>
    <w:rsid w:val="00773256"/>
    <w:rsid w:val="00781042"/>
    <w:rsid w:val="007965CE"/>
    <w:rsid w:val="007A52E2"/>
    <w:rsid w:val="007C1722"/>
    <w:rsid w:val="007C4834"/>
    <w:rsid w:val="007D1692"/>
    <w:rsid w:val="007E638A"/>
    <w:rsid w:val="00852F80"/>
    <w:rsid w:val="009C0020"/>
    <w:rsid w:val="009E1091"/>
    <w:rsid w:val="00A14FCC"/>
    <w:rsid w:val="00A32485"/>
    <w:rsid w:val="00A5031F"/>
    <w:rsid w:val="00A64FD6"/>
    <w:rsid w:val="00A74238"/>
    <w:rsid w:val="00A9195B"/>
    <w:rsid w:val="00B0311B"/>
    <w:rsid w:val="00B42BAB"/>
    <w:rsid w:val="00B84605"/>
    <w:rsid w:val="00BB1E2C"/>
    <w:rsid w:val="00BF58CF"/>
    <w:rsid w:val="00C65529"/>
    <w:rsid w:val="00C930A4"/>
    <w:rsid w:val="00CC0E06"/>
    <w:rsid w:val="00CD76AF"/>
    <w:rsid w:val="00CF0996"/>
    <w:rsid w:val="00D00375"/>
    <w:rsid w:val="00D3675E"/>
    <w:rsid w:val="00D6071A"/>
    <w:rsid w:val="00D66736"/>
    <w:rsid w:val="00D70464"/>
    <w:rsid w:val="00D71032"/>
    <w:rsid w:val="00DE5EB9"/>
    <w:rsid w:val="00E01A87"/>
    <w:rsid w:val="00E01D7F"/>
    <w:rsid w:val="00E16169"/>
    <w:rsid w:val="00E41A4A"/>
    <w:rsid w:val="00E817D5"/>
    <w:rsid w:val="00E9205B"/>
    <w:rsid w:val="00ED5221"/>
    <w:rsid w:val="00EE12B1"/>
    <w:rsid w:val="00F80FE0"/>
    <w:rsid w:val="00F90740"/>
    <w:rsid w:val="00FA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90740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13695"/>
    <w:rPr>
      <w:b/>
      <w:bCs/>
    </w:rPr>
  </w:style>
  <w:style w:type="character" w:customStyle="1" w:styleId="katex-mathml">
    <w:name w:val="katex-mathml"/>
    <w:basedOn w:val="DefaultParagraphFont"/>
    <w:rsid w:val="00513695"/>
  </w:style>
  <w:style w:type="character" w:customStyle="1" w:styleId="mord">
    <w:name w:val="mord"/>
    <w:basedOn w:val="DefaultParagraphFont"/>
    <w:rsid w:val="00513695"/>
  </w:style>
  <w:style w:type="character" w:customStyle="1" w:styleId="mbin">
    <w:name w:val="mbin"/>
    <w:basedOn w:val="DefaultParagraphFont"/>
    <w:rsid w:val="007E638A"/>
  </w:style>
  <w:style w:type="character" w:customStyle="1" w:styleId="mrel">
    <w:name w:val="mrel"/>
    <w:basedOn w:val="DefaultParagraphFont"/>
    <w:rsid w:val="007E638A"/>
  </w:style>
  <w:style w:type="character" w:customStyle="1" w:styleId="vlist-s">
    <w:name w:val="vlist-s"/>
    <w:basedOn w:val="DefaultParagraphFont"/>
    <w:rsid w:val="007E638A"/>
  </w:style>
  <w:style w:type="table" w:styleId="TableGrid">
    <w:name w:val="Table Grid"/>
    <w:basedOn w:val="TableNormal"/>
    <w:uiPriority w:val="39"/>
    <w:rsid w:val="007E638A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pace">
    <w:name w:val="mspace"/>
    <w:basedOn w:val="DefaultParagraphFont"/>
    <w:rsid w:val="007E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44c25a-d47e-4cab-b507-a647a250e4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8EEB5BC74664DA9CFC1CAE5A698B7" ma:contentTypeVersion="12" ma:contentTypeDescription="Create a new document." ma:contentTypeScope="" ma:versionID="66a2c194fada4436b79e24c7f624fb12">
  <xsd:schema xmlns:xsd="http://www.w3.org/2001/XMLSchema" xmlns:xs="http://www.w3.org/2001/XMLSchema" xmlns:p="http://schemas.microsoft.com/office/2006/metadata/properties" xmlns:ns3="5044c25a-d47e-4cab-b507-a647a250e46f" targetNamespace="http://schemas.microsoft.com/office/2006/metadata/properties" ma:root="true" ma:fieldsID="13710e74c256cccd750447e861cb376b" ns3:_="">
    <xsd:import namespace="5044c25a-d47e-4cab-b507-a647a250e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4c25a-d47e-4cab-b507-a647a250e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7F78C-AEA1-4BB0-8EE7-D5A6C74114F8}">
  <ds:schemaRefs>
    <ds:schemaRef ds:uri="http://schemas.microsoft.com/office/2006/metadata/properties"/>
    <ds:schemaRef ds:uri="http://schemas.microsoft.com/office/infopath/2007/PartnerControls"/>
    <ds:schemaRef ds:uri="5044c25a-d47e-4cab-b507-a647a250e46f"/>
  </ds:schemaRefs>
</ds:datastoreItem>
</file>

<file path=customXml/itemProps2.xml><?xml version="1.0" encoding="utf-8"?>
<ds:datastoreItem xmlns:ds="http://schemas.openxmlformats.org/officeDocument/2006/customXml" ds:itemID="{8D2B44F4-EE64-4E58-8DB1-6B42D737C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4c25a-d47e-4cab-b507-a647a250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041D1-7CA2-4936-94E9-77C1D5555B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2</cp:revision>
  <cp:lastPrinted>2026-03-28T18:47:00Z</cp:lastPrinted>
  <dcterms:created xsi:type="dcterms:W3CDTF">2026-04-20T12:57:00Z</dcterms:created>
  <dcterms:modified xsi:type="dcterms:W3CDTF">2026-04-20T12:57:00Z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0x010100D5A8EEB5BC74664DA9CFC1CAE5A698B7</vt:lpwstr>
  </property>
</Properties>
</file>